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186"/>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2768"/>
        <w:gridCol w:w="2435"/>
      </w:tblGrid>
      <w:tr w:rsidR="00CA41F2" w14:paraId="2A73030C" w14:textId="77777777" w:rsidTr="00CA41F2">
        <w:trPr>
          <w:trHeight w:val="187"/>
        </w:trPr>
        <w:tc>
          <w:tcPr>
            <w:tcW w:w="9990" w:type="dxa"/>
            <w:gridSpan w:val="3"/>
          </w:tcPr>
          <w:p w14:paraId="1CB36D40" w14:textId="77777777" w:rsidR="00CA41F2" w:rsidRPr="00CA41F2" w:rsidRDefault="00CA41F2" w:rsidP="00CA41F2">
            <w:pPr>
              <w:rPr>
                <w:rFonts w:cstheme="minorHAnsi"/>
                <w:b/>
                <w:bCs/>
                <w:sz w:val="24"/>
                <w:szCs w:val="24"/>
              </w:rPr>
            </w:pPr>
            <w:r w:rsidRPr="00CA41F2">
              <w:rPr>
                <w:rFonts w:cstheme="minorHAnsi"/>
                <w:b/>
                <w:bCs/>
                <w:sz w:val="24"/>
                <w:szCs w:val="24"/>
              </w:rPr>
              <w:t>Patient Name:</w:t>
            </w:r>
          </w:p>
        </w:tc>
      </w:tr>
      <w:tr w:rsidR="00CA41F2" w14:paraId="14E89237" w14:textId="77777777" w:rsidTr="00CA41F2">
        <w:trPr>
          <w:trHeight w:val="187"/>
        </w:trPr>
        <w:tc>
          <w:tcPr>
            <w:tcW w:w="9990" w:type="dxa"/>
            <w:gridSpan w:val="3"/>
          </w:tcPr>
          <w:p w14:paraId="1948B230" w14:textId="77777777" w:rsidR="00CA41F2" w:rsidRPr="00CA07AB" w:rsidRDefault="00CA41F2" w:rsidP="00CA41F2">
            <w:pPr>
              <w:rPr>
                <w:sz w:val="24"/>
                <w:szCs w:val="24"/>
              </w:rPr>
            </w:pPr>
            <w:r>
              <w:rPr>
                <w:sz w:val="24"/>
                <w:szCs w:val="24"/>
              </w:rPr>
              <w:t>Date of Birth:</w:t>
            </w:r>
          </w:p>
        </w:tc>
      </w:tr>
      <w:tr w:rsidR="00CA41F2" w14:paraId="425A9F18" w14:textId="77777777" w:rsidTr="00CA41F2">
        <w:trPr>
          <w:trHeight w:val="187"/>
        </w:trPr>
        <w:tc>
          <w:tcPr>
            <w:tcW w:w="7555" w:type="dxa"/>
            <w:gridSpan w:val="2"/>
          </w:tcPr>
          <w:p w14:paraId="393DF2FD" w14:textId="77777777" w:rsidR="00CA41F2" w:rsidRDefault="00CA41F2" w:rsidP="00CA41F2">
            <w:r w:rsidRPr="00CA07AB">
              <w:rPr>
                <w:sz w:val="24"/>
                <w:szCs w:val="24"/>
              </w:rPr>
              <w:t xml:space="preserve">Address: </w:t>
            </w:r>
          </w:p>
        </w:tc>
        <w:tc>
          <w:tcPr>
            <w:tcW w:w="2435" w:type="dxa"/>
            <w:shd w:val="clear" w:color="auto" w:fill="auto"/>
          </w:tcPr>
          <w:p w14:paraId="189FB7CB" w14:textId="77777777" w:rsidR="00CA41F2" w:rsidRDefault="00CA41F2" w:rsidP="00CA41F2">
            <w:r w:rsidRPr="00CA07AB">
              <w:rPr>
                <w:sz w:val="24"/>
                <w:szCs w:val="24"/>
              </w:rPr>
              <w:t xml:space="preserve">Apt: </w:t>
            </w:r>
          </w:p>
        </w:tc>
      </w:tr>
      <w:tr w:rsidR="00CA41F2" w14:paraId="2ACFD539" w14:textId="77777777" w:rsidTr="00CA41F2">
        <w:trPr>
          <w:trHeight w:val="187"/>
        </w:trPr>
        <w:tc>
          <w:tcPr>
            <w:tcW w:w="4787" w:type="dxa"/>
          </w:tcPr>
          <w:p w14:paraId="299625F9" w14:textId="77777777" w:rsidR="00CA41F2" w:rsidRDefault="00CA41F2" w:rsidP="00CA41F2">
            <w:r w:rsidRPr="00CA07AB">
              <w:rPr>
                <w:sz w:val="24"/>
                <w:szCs w:val="24"/>
              </w:rPr>
              <w:t>City:</w:t>
            </w:r>
          </w:p>
        </w:tc>
        <w:tc>
          <w:tcPr>
            <w:tcW w:w="2768" w:type="dxa"/>
            <w:shd w:val="clear" w:color="auto" w:fill="auto"/>
          </w:tcPr>
          <w:p w14:paraId="003B9B86" w14:textId="77777777" w:rsidR="00CA41F2" w:rsidRPr="00CA07AB" w:rsidRDefault="00CA41F2" w:rsidP="00CA41F2">
            <w:pPr>
              <w:rPr>
                <w:sz w:val="24"/>
                <w:szCs w:val="24"/>
              </w:rPr>
            </w:pPr>
            <w:r w:rsidRPr="00CA07AB">
              <w:rPr>
                <w:sz w:val="24"/>
                <w:szCs w:val="24"/>
              </w:rPr>
              <w:t>State:</w:t>
            </w:r>
          </w:p>
        </w:tc>
        <w:tc>
          <w:tcPr>
            <w:tcW w:w="2435" w:type="dxa"/>
            <w:shd w:val="clear" w:color="auto" w:fill="auto"/>
          </w:tcPr>
          <w:p w14:paraId="09CA23E6" w14:textId="77777777" w:rsidR="00CA41F2" w:rsidRPr="00CA07AB" w:rsidRDefault="00CA41F2" w:rsidP="00CA41F2">
            <w:pPr>
              <w:rPr>
                <w:sz w:val="24"/>
                <w:szCs w:val="24"/>
              </w:rPr>
            </w:pPr>
            <w:r w:rsidRPr="00CA07AB">
              <w:rPr>
                <w:sz w:val="24"/>
                <w:szCs w:val="24"/>
              </w:rPr>
              <w:t>Zip:</w:t>
            </w:r>
          </w:p>
        </w:tc>
      </w:tr>
      <w:tr w:rsidR="00CA41F2" w14:paraId="34784CD7" w14:textId="77777777" w:rsidTr="00CA41F2">
        <w:trPr>
          <w:trHeight w:val="187"/>
        </w:trPr>
        <w:tc>
          <w:tcPr>
            <w:tcW w:w="4787" w:type="dxa"/>
          </w:tcPr>
          <w:p w14:paraId="0233A313" w14:textId="77777777" w:rsidR="00CA41F2" w:rsidRPr="00CA07AB" w:rsidRDefault="00CA41F2" w:rsidP="00CA41F2">
            <w:pPr>
              <w:rPr>
                <w:sz w:val="24"/>
                <w:szCs w:val="24"/>
              </w:rPr>
            </w:pPr>
            <w:r>
              <w:rPr>
                <w:sz w:val="24"/>
                <w:szCs w:val="24"/>
              </w:rPr>
              <w:t>Phone:</w:t>
            </w:r>
          </w:p>
        </w:tc>
        <w:tc>
          <w:tcPr>
            <w:tcW w:w="5203" w:type="dxa"/>
            <w:gridSpan w:val="2"/>
            <w:shd w:val="clear" w:color="auto" w:fill="auto"/>
          </w:tcPr>
          <w:p w14:paraId="1203BD0D" w14:textId="77777777" w:rsidR="00CA41F2" w:rsidRDefault="00CA41F2" w:rsidP="00CA41F2">
            <w:r w:rsidRPr="00CA07AB">
              <w:rPr>
                <w:sz w:val="24"/>
                <w:szCs w:val="24"/>
              </w:rPr>
              <w:t>Email:</w:t>
            </w:r>
          </w:p>
        </w:tc>
      </w:tr>
      <w:tr w:rsidR="00CA41F2" w14:paraId="6298D3A8" w14:textId="77777777" w:rsidTr="00CA41F2">
        <w:trPr>
          <w:trHeight w:val="187"/>
        </w:trPr>
        <w:tc>
          <w:tcPr>
            <w:tcW w:w="9990" w:type="dxa"/>
            <w:gridSpan w:val="3"/>
          </w:tcPr>
          <w:p w14:paraId="0628B448" w14:textId="6066F994" w:rsidR="00CA41F2" w:rsidRDefault="00CA41F2" w:rsidP="00CA41F2">
            <w:pPr>
              <w:tabs>
                <w:tab w:val="left" w:pos="2669"/>
              </w:tabs>
            </w:pPr>
            <w:r>
              <w:rPr>
                <w:noProof/>
                <w:sz w:val="24"/>
                <w:szCs w:val="24"/>
              </w:rPr>
              <mc:AlternateContent>
                <mc:Choice Requires="wps">
                  <w:drawing>
                    <wp:anchor distT="0" distB="0" distL="114300" distR="114300" simplePos="0" relativeHeight="251659264" behindDoc="0" locked="0" layoutInCell="1" allowOverlap="1" wp14:anchorId="1BFCBDA5" wp14:editId="4A042A6C">
                      <wp:simplePos x="0" y="0"/>
                      <wp:positionH relativeFrom="column">
                        <wp:posOffset>1468755</wp:posOffset>
                      </wp:positionH>
                      <wp:positionV relativeFrom="paragraph">
                        <wp:posOffset>35433</wp:posOffset>
                      </wp:positionV>
                      <wp:extent cx="85090" cy="85090"/>
                      <wp:effectExtent l="0" t="0" r="10160" b="10160"/>
                      <wp:wrapNone/>
                      <wp:docPr id="5" name="Rectangle 5"/>
                      <wp:cNvGraphicFramePr/>
                      <a:graphic xmlns:a="http://schemas.openxmlformats.org/drawingml/2006/main">
                        <a:graphicData uri="http://schemas.microsoft.com/office/word/2010/wordprocessingShape">
                          <wps:wsp>
                            <wps:cNvSpPr/>
                            <wps:spPr>
                              <a:xfrm>
                                <a:off x="0" y="0"/>
                                <a:ext cx="85090" cy="85090"/>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F38FB" id="Rectangle 5" o:spid="_x0000_s1026" style="position:absolute;margin-left:115.65pt;margin-top:2.8pt;width:6.7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" filled="f" strokecolor="#161616 [334]" strokeweight="1pt"/>
                  </w:pict>
                </mc:Fallback>
              </mc:AlternateContent>
            </w:r>
            <w:r w:rsidRPr="00CA07AB">
              <w:rPr>
                <w:sz w:val="24"/>
                <w:szCs w:val="24"/>
              </w:rPr>
              <w:t xml:space="preserve">Contact Preference: </w:t>
            </w:r>
            <w:r>
              <w:rPr>
                <w:sz w:val="24"/>
                <w:szCs w:val="24"/>
              </w:rPr>
              <w:t xml:space="preserve">           </w:t>
            </w:r>
            <w:r>
              <w:rPr>
                <w:sz w:val="24"/>
                <w:szCs w:val="24"/>
              </w:rPr>
              <w:tab/>
              <w:t xml:space="preserve">Mail            </w:t>
            </w:r>
            <w:r>
              <w:rPr>
                <w:noProof/>
                <w:sz w:val="24"/>
                <w:szCs w:val="24"/>
              </w:rPr>
              <w:drawing>
                <wp:inline distT="0" distB="0" distL="0" distR="0" wp14:anchorId="1CDC5604" wp14:editId="4BDC96B1">
                  <wp:extent cx="97790" cy="97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Pr>
                <w:sz w:val="24"/>
                <w:szCs w:val="24"/>
              </w:rPr>
              <w:t xml:space="preserve">    Email      </w:t>
            </w:r>
            <w:r w:rsidR="009103A6">
              <w:rPr>
                <w:sz w:val="24"/>
                <w:szCs w:val="24"/>
              </w:rPr>
              <w:t xml:space="preserve">   </w:t>
            </w:r>
            <w:r>
              <w:rPr>
                <w:sz w:val="24"/>
                <w:szCs w:val="24"/>
              </w:rPr>
              <w:t xml:space="preserve">  </w:t>
            </w:r>
            <w:r>
              <w:rPr>
                <w:noProof/>
                <w:sz w:val="24"/>
                <w:szCs w:val="24"/>
              </w:rPr>
              <w:drawing>
                <wp:inline distT="0" distB="0" distL="0" distR="0" wp14:anchorId="688DE9D4" wp14:editId="27504894">
                  <wp:extent cx="97790" cy="97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Pr>
                <w:sz w:val="24"/>
                <w:szCs w:val="24"/>
              </w:rPr>
              <w:t xml:space="preserve">  Phone</w:t>
            </w:r>
          </w:p>
        </w:tc>
      </w:tr>
    </w:tbl>
    <w:p w14:paraId="06A72E8D" w14:textId="77777777" w:rsidR="00CA07AB" w:rsidRDefault="00CA07AB"/>
    <w:p w14:paraId="572CBEF5" w14:textId="6AA6AF31" w:rsidR="006C106A" w:rsidRPr="00CA41F2" w:rsidRDefault="006C106A" w:rsidP="006C106A">
      <w:pPr>
        <w:pStyle w:val="NoSpacing"/>
        <w:rPr>
          <w:sz w:val="6"/>
          <w:szCs w:val="6"/>
        </w:rPr>
      </w:pPr>
    </w:p>
    <w:p w14:paraId="4A65AE93" w14:textId="77777777" w:rsidR="00CA41F2" w:rsidRPr="00CA41F2" w:rsidRDefault="00CA41F2" w:rsidP="006C106A">
      <w:pPr>
        <w:pStyle w:val="NoSpacing"/>
        <w:rPr>
          <w:sz w:val="16"/>
          <w:szCs w:val="16"/>
        </w:rPr>
      </w:pPr>
    </w:p>
    <w:p w14:paraId="179BE41D" w14:textId="3F841D52" w:rsidR="006C106A" w:rsidRDefault="006C106A" w:rsidP="006C106A">
      <w:pPr>
        <w:pStyle w:val="NoSpacing"/>
        <w:rPr>
          <w:sz w:val="24"/>
          <w:szCs w:val="24"/>
        </w:rPr>
      </w:pPr>
      <w:r>
        <w:rPr>
          <w:sz w:val="24"/>
          <w:szCs w:val="24"/>
        </w:rPr>
        <w:t xml:space="preserve">The following is a detailed list of expected charges for your services provided at Traverse Bay </w:t>
      </w:r>
    </w:p>
    <w:p w14:paraId="00AB91F0" w14:textId="58125218" w:rsidR="00CA41F2" w:rsidRPr="00CA41F2" w:rsidRDefault="006C106A" w:rsidP="00CA41F2">
      <w:pPr>
        <w:pStyle w:val="NoSpacing"/>
        <w:rPr>
          <w:sz w:val="24"/>
          <w:szCs w:val="24"/>
        </w:rPr>
      </w:pPr>
      <w:r>
        <w:rPr>
          <w:sz w:val="24"/>
          <w:szCs w:val="24"/>
        </w:rPr>
        <w:t xml:space="preserve">Internal Medicine on </w:t>
      </w:r>
      <w:r w:rsidR="004402DF">
        <w:rPr>
          <w:sz w:val="24"/>
          <w:szCs w:val="24"/>
        </w:rPr>
        <w:t xml:space="preserve">date(s): </w:t>
      </w:r>
      <w:r>
        <w:rPr>
          <w:sz w:val="24"/>
          <w:szCs w:val="24"/>
        </w:rPr>
        <w:t>___________________________________________</w:t>
      </w:r>
      <w:r w:rsidR="004402DF">
        <w:rPr>
          <w:sz w:val="24"/>
          <w:szCs w:val="24"/>
        </w:rPr>
        <w:t>___________</w:t>
      </w:r>
      <w:r>
        <w:rPr>
          <w:sz w:val="24"/>
          <w:szCs w:val="24"/>
        </w:rPr>
        <w:t xml:space="preserve"> as well as for items or services reasonably expected to be furnished in conjunction with the primary item or service</w:t>
      </w:r>
      <w:r w:rsidR="004402DF">
        <w:rPr>
          <w:sz w:val="24"/>
          <w:szCs w:val="24"/>
        </w:rPr>
        <w:t xml:space="preserve">. </w:t>
      </w:r>
      <w:r>
        <w:rPr>
          <w:sz w:val="24"/>
          <w:szCs w:val="24"/>
        </w:rPr>
        <w:t>As part of the period of care. The estimated costs are valid for 12 months from the date of this Good Faith Estimate.</w:t>
      </w:r>
    </w:p>
    <w:p w14:paraId="469463A6" w14:textId="45BFB976" w:rsidR="006C106A" w:rsidRDefault="006C106A" w:rsidP="006C106A">
      <w:pPr>
        <w:pStyle w:val="NoSpacing"/>
        <w:rPr>
          <w:sz w:val="24"/>
          <w:szCs w:val="24"/>
        </w:rPr>
      </w:pPr>
    </w:p>
    <w:tbl>
      <w:tblPr>
        <w:tblpPr w:leftFromText="180" w:rightFromText="180" w:vertAnchor="text" w:tblpX="-275" w:tblpY="-94"/>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231"/>
        <w:gridCol w:w="6"/>
        <w:gridCol w:w="1700"/>
        <w:gridCol w:w="13"/>
        <w:gridCol w:w="711"/>
        <w:gridCol w:w="38"/>
        <w:gridCol w:w="1013"/>
        <w:gridCol w:w="1254"/>
        <w:gridCol w:w="1484"/>
      </w:tblGrid>
      <w:tr w:rsidR="00E576B0" w14:paraId="08AECC75" w14:textId="77777777" w:rsidTr="00E576B0">
        <w:trPr>
          <w:trHeight w:val="260"/>
        </w:trPr>
        <w:tc>
          <w:tcPr>
            <w:tcW w:w="6196" w:type="dxa"/>
            <w:gridSpan w:val="6"/>
          </w:tcPr>
          <w:p w14:paraId="4869263C" w14:textId="2B661914" w:rsidR="00180D1C" w:rsidRPr="00CA41F2" w:rsidRDefault="00CA41F2" w:rsidP="00E576B0">
            <w:pPr>
              <w:pStyle w:val="NoSpacing"/>
              <w:rPr>
                <w:b/>
                <w:bCs/>
                <w:sz w:val="24"/>
                <w:szCs w:val="24"/>
              </w:rPr>
            </w:pPr>
            <w:r w:rsidRPr="00CA41F2">
              <w:rPr>
                <w:b/>
                <w:bCs/>
                <w:sz w:val="24"/>
                <w:szCs w:val="24"/>
              </w:rPr>
              <w:t xml:space="preserve">Provider/Facility Name: </w:t>
            </w:r>
          </w:p>
        </w:tc>
        <w:tc>
          <w:tcPr>
            <w:tcW w:w="3789" w:type="dxa"/>
            <w:gridSpan w:val="4"/>
            <w:shd w:val="clear" w:color="auto" w:fill="auto"/>
          </w:tcPr>
          <w:p w14:paraId="04ECBA2C" w14:textId="3A5F13AD" w:rsidR="00180D1C" w:rsidRPr="00CA41F2" w:rsidRDefault="00CA41F2" w:rsidP="00E576B0">
            <w:pPr>
              <w:rPr>
                <w:b/>
                <w:bCs/>
                <w:sz w:val="24"/>
                <w:szCs w:val="24"/>
              </w:rPr>
            </w:pPr>
            <w:r w:rsidRPr="00CA41F2">
              <w:rPr>
                <w:b/>
                <w:bCs/>
                <w:sz w:val="24"/>
                <w:szCs w:val="24"/>
              </w:rPr>
              <w:t xml:space="preserve">Provider Type: </w:t>
            </w:r>
            <w:r w:rsidR="00E9184A">
              <w:rPr>
                <w:b/>
                <w:bCs/>
                <w:sz w:val="24"/>
                <w:szCs w:val="24"/>
              </w:rPr>
              <w:t xml:space="preserve"> </w:t>
            </w:r>
          </w:p>
        </w:tc>
      </w:tr>
      <w:tr w:rsidR="00E576B0" w14:paraId="4232A0E1" w14:textId="77777777" w:rsidTr="00E576B0">
        <w:trPr>
          <w:trHeight w:val="422"/>
        </w:trPr>
        <w:tc>
          <w:tcPr>
            <w:tcW w:w="6196" w:type="dxa"/>
            <w:gridSpan w:val="6"/>
          </w:tcPr>
          <w:p w14:paraId="34E646E6" w14:textId="7C7BED19" w:rsidR="00180D1C" w:rsidRDefault="00E9184A" w:rsidP="00E9184A">
            <w:r>
              <w:t>______________/Traverse Bay Internal Medicine, PC</w:t>
            </w:r>
          </w:p>
        </w:tc>
        <w:tc>
          <w:tcPr>
            <w:tcW w:w="3789" w:type="dxa"/>
            <w:gridSpan w:val="4"/>
            <w:shd w:val="clear" w:color="auto" w:fill="auto"/>
          </w:tcPr>
          <w:p w14:paraId="013AA759" w14:textId="474692AD" w:rsidR="00180D1C" w:rsidRDefault="00E9184A" w:rsidP="00E576B0">
            <w:r>
              <w:t>Internal Medicine</w:t>
            </w:r>
            <w:r w:rsidR="004C348F">
              <w:t xml:space="preserve"> (</w:t>
            </w:r>
            <w:r w:rsidR="00434C7D">
              <w:t>P</w:t>
            </w:r>
            <w:r w:rsidR="004C348F">
              <w:t xml:space="preserve">rimary </w:t>
            </w:r>
            <w:r w:rsidR="00434C7D">
              <w:t>C</w:t>
            </w:r>
            <w:r w:rsidR="004C348F">
              <w:t>are)</w:t>
            </w:r>
          </w:p>
        </w:tc>
      </w:tr>
      <w:tr w:rsidR="00180D1C" w14:paraId="1B685AF4" w14:textId="77777777" w:rsidTr="00E576B0">
        <w:trPr>
          <w:trHeight w:val="323"/>
        </w:trPr>
        <w:tc>
          <w:tcPr>
            <w:tcW w:w="9985" w:type="dxa"/>
            <w:gridSpan w:val="10"/>
          </w:tcPr>
          <w:p w14:paraId="2B529D46" w14:textId="5EF1F044" w:rsidR="00180D1C" w:rsidRPr="00CA41F2" w:rsidRDefault="00CA41F2" w:rsidP="00E576B0">
            <w:pPr>
              <w:rPr>
                <w:b/>
                <w:bCs/>
              </w:rPr>
            </w:pPr>
            <w:r w:rsidRPr="00CA41F2">
              <w:rPr>
                <w:b/>
                <w:bCs/>
                <w:sz w:val="24"/>
                <w:szCs w:val="24"/>
              </w:rPr>
              <w:t>Provider/Facility Location:</w:t>
            </w:r>
            <w:r w:rsidR="00E9184A">
              <w:rPr>
                <w:b/>
                <w:bCs/>
                <w:sz w:val="24"/>
                <w:szCs w:val="24"/>
              </w:rPr>
              <w:t xml:space="preserve">  </w:t>
            </w:r>
            <w:r w:rsidR="00E9184A" w:rsidRPr="00E9184A">
              <w:rPr>
                <w:sz w:val="24"/>
                <w:szCs w:val="24"/>
              </w:rPr>
              <w:t>4977 Skyview Court, Traverse City, Michigan 49684</w:t>
            </w:r>
          </w:p>
        </w:tc>
      </w:tr>
      <w:tr w:rsidR="00E576B0" w14:paraId="1521C68E" w14:textId="77777777" w:rsidTr="00E576B0">
        <w:trPr>
          <w:trHeight w:val="494"/>
        </w:trPr>
        <w:tc>
          <w:tcPr>
            <w:tcW w:w="6234" w:type="dxa"/>
            <w:gridSpan w:val="7"/>
          </w:tcPr>
          <w:p w14:paraId="0D75F1EC" w14:textId="13396EBA" w:rsidR="00180D1C" w:rsidRPr="00CA41F2" w:rsidRDefault="00CA41F2" w:rsidP="00E576B0">
            <w:pPr>
              <w:rPr>
                <w:b/>
                <w:bCs/>
              </w:rPr>
            </w:pPr>
            <w:r w:rsidRPr="00CA41F2">
              <w:rPr>
                <w:b/>
                <w:bCs/>
                <w:sz w:val="24"/>
                <w:szCs w:val="24"/>
              </w:rPr>
              <w:t xml:space="preserve">NPI Number: </w:t>
            </w:r>
          </w:p>
        </w:tc>
        <w:tc>
          <w:tcPr>
            <w:tcW w:w="3751" w:type="dxa"/>
            <w:gridSpan w:val="3"/>
            <w:shd w:val="clear" w:color="auto" w:fill="auto"/>
          </w:tcPr>
          <w:p w14:paraId="00CEB5D1" w14:textId="3D582CA8" w:rsidR="00180D1C" w:rsidRPr="00CA41F2" w:rsidRDefault="00CA41F2" w:rsidP="00E576B0">
            <w:pPr>
              <w:rPr>
                <w:color w:val="FF0000"/>
              </w:rPr>
            </w:pPr>
            <w:r>
              <w:t xml:space="preserve">Tax ID Number: </w:t>
            </w:r>
            <w:r w:rsidRPr="00CA41F2">
              <w:rPr>
                <w:color w:val="FF0000"/>
              </w:rPr>
              <w:t>IF NEEDED</w:t>
            </w:r>
          </w:p>
        </w:tc>
      </w:tr>
      <w:tr w:rsidR="00E576B0" w14:paraId="0616E3DC" w14:textId="77777777" w:rsidTr="00E576B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772" w:type="dxa"/>
            <w:gridSpan w:val="3"/>
            <w:tcBorders>
              <w:left w:val="single" w:sz="4" w:space="0" w:color="auto"/>
              <w:bottom w:val="single" w:sz="4" w:space="0" w:color="auto"/>
              <w:right w:val="single" w:sz="4" w:space="0" w:color="auto"/>
            </w:tcBorders>
          </w:tcPr>
          <w:p w14:paraId="4BCAEED5" w14:textId="0F295B43" w:rsidR="00180D1C" w:rsidRPr="00CA41F2" w:rsidRDefault="00E576B0" w:rsidP="00E576B0">
            <w:pPr>
              <w:rPr>
                <w:b/>
                <w:bCs/>
                <w:sz w:val="24"/>
                <w:szCs w:val="24"/>
              </w:rPr>
            </w:pPr>
            <w:r>
              <w:rPr>
                <w:b/>
                <w:bCs/>
                <w:sz w:val="24"/>
                <w:szCs w:val="24"/>
              </w:rPr>
              <w:t>Description of Service/Item (check)</w:t>
            </w:r>
          </w:p>
        </w:tc>
        <w:tc>
          <w:tcPr>
            <w:tcW w:w="1700" w:type="dxa"/>
            <w:tcBorders>
              <w:top w:val="single" w:sz="4" w:space="0" w:color="auto"/>
              <w:bottom w:val="single" w:sz="4" w:space="0" w:color="auto"/>
              <w:right w:val="single" w:sz="4" w:space="0" w:color="auto"/>
            </w:tcBorders>
            <w:shd w:val="clear" w:color="auto" w:fill="auto"/>
          </w:tcPr>
          <w:p w14:paraId="488A8079" w14:textId="77777777" w:rsidR="00E576B0" w:rsidRPr="00E576B0" w:rsidRDefault="00E576B0" w:rsidP="00E576B0">
            <w:pPr>
              <w:pStyle w:val="NoSpacing"/>
              <w:rPr>
                <w:b/>
                <w:bCs/>
                <w:sz w:val="24"/>
                <w:szCs w:val="24"/>
              </w:rPr>
            </w:pPr>
            <w:r w:rsidRPr="00E576B0">
              <w:rPr>
                <w:b/>
                <w:bCs/>
                <w:sz w:val="24"/>
                <w:szCs w:val="24"/>
              </w:rPr>
              <w:t>Service Code</w:t>
            </w:r>
          </w:p>
          <w:p w14:paraId="43393E07" w14:textId="18F8DC55" w:rsidR="00E576B0" w:rsidRDefault="00E576B0" w:rsidP="00E576B0">
            <w:pPr>
              <w:pStyle w:val="NoSpacing"/>
            </w:pPr>
            <w:r w:rsidRPr="00E576B0">
              <w:rPr>
                <w:b/>
                <w:bCs/>
                <w:sz w:val="24"/>
                <w:szCs w:val="24"/>
              </w:rPr>
              <w:t>(Type/Code)</w:t>
            </w:r>
          </w:p>
        </w:tc>
        <w:tc>
          <w:tcPr>
            <w:tcW w:w="1775" w:type="dxa"/>
            <w:gridSpan w:val="4"/>
            <w:tcBorders>
              <w:top w:val="single" w:sz="4" w:space="0" w:color="auto"/>
              <w:bottom w:val="single" w:sz="4" w:space="0" w:color="auto"/>
              <w:right w:val="single" w:sz="4" w:space="0" w:color="auto"/>
            </w:tcBorders>
            <w:shd w:val="clear" w:color="auto" w:fill="auto"/>
          </w:tcPr>
          <w:p w14:paraId="6BF68F42" w14:textId="77777777" w:rsidR="00180D1C" w:rsidRPr="00E576B0" w:rsidRDefault="00E576B0" w:rsidP="00E576B0">
            <w:pPr>
              <w:pStyle w:val="NoSpacing"/>
              <w:rPr>
                <w:b/>
                <w:bCs/>
                <w:sz w:val="24"/>
                <w:szCs w:val="24"/>
              </w:rPr>
            </w:pPr>
            <w:r w:rsidRPr="00E576B0">
              <w:rPr>
                <w:b/>
                <w:bCs/>
                <w:sz w:val="24"/>
                <w:szCs w:val="24"/>
              </w:rPr>
              <w:t>Diagnosis Code</w:t>
            </w:r>
          </w:p>
          <w:p w14:paraId="060D7035" w14:textId="4226C8C4" w:rsidR="00E576B0" w:rsidRPr="00E576B0" w:rsidRDefault="00E576B0" w:rsidP="00E576B0">
            <w:pPr>
              <w:pStyle w:val="NoSpacing"/>
              <w:rPr>
                <w:b/>
                <w:bCs/>
              </w:rPr>
            </w:pPr>
            <w:r w:rsidRPr="00E576B0">
              <w:rPr>
                <w:b/>
                <w:bCs/>
                <w:sz w:val="24"/>
                <w:szCs w:val="24"/>
              </w:rPr>
              <w:t>(ICD Code)</w:t>
            </w:r>
          </w:p>
        </w:tc>
        <w:tc>
          <w:tcPr>
            <w:tcW w:w="1254" w:type="dxa"/>
            <w:tcBorders>
              <w:top w:val="single" w:sz="4" w:space="0" w:color="auto"/>
              <w:bottom w:val="single" w:sz="4" w:space="0" w:color="auto"/>
              <w:right w:val="single" w:sz="4" w:space="0" w:color="auto"/>
            </w:tcBorders>
            <w:shd w:val="clear" w:color="auto" w:fill="auto"/>
          </w:tcPr>
          <w:p w14:paraId="23D1C12C" w14:textId="77777777" w:rsidR="00180D1C" w:rsidRPr="00E576B0" w:rsidRDefault="00E576B0" w:rsidP="00E576B0">
            <w:pPr>
              <w:pStyle w:val="NoSpacing"/>
              <w:rPr>
                <w:b/>
                <w:bCs/>
                <w:sz w:val="24"/>
                <w:szCs w:val="24"/>
              </w:rPr>
            </w:pPr>
            <w:r w:rsidRPr="00E576B0">
              <w:rPr>
                <w:b/>
                <w:bCs/>
                <w:sz w:val="24"/>
                <w:szCs w:val="24"/>
              </w:rPr>
              <w:t>Quantity/</w:t>
            </w:r>
          </w:p>
          <w:p w14:paraId="4C9656AD" w14:textId="3D2C1AAE" w:rsidR="00E576B0" w:rsidRDefault="00E576B0" w:rsidP="00E576B0">
            <w:pPr>
              <w:pStyle w:val="NoSpacing"/>
            </w:pPr>
            <w:r w:rsidRPr="00E576B0">
              <w:rPr>
                <w:b/>
                <w:bCs/>
                <w:sz w:val="24"/>
                <w:szCs w:val="24"/>
              </w:rPr>
              <w:t>Frequency</w:t>
            </w:r>
          </w:p>
        </w:tc>
        <w:tc>
          <w:tcPr>
            <w:tcW w:w="1484" w:type="dxa"/>
            <w:tcBorders>
              <w:top w:val="single" w:sz="4" w:space="0" w:color="auto"/>
              <w:bottom w:val="single" w:sz="4" w:space="0" w:color="auto"/>
              <w:right w:val="single" w:sz="4" w:space="0" w:color="auto"/>
            </w:tcBorders>
            <w:shd w:val="clear" w:color="auto" w:fill="auto"/>
          </w:tcPr>
          <w:p w14:paraId="3E88183E" w14:textId="762E2887" w:rsidR="00180D1C" w:rsidRPr="00E576B0" w:rsidRDefault="00E576B0" w:rsidP="00E576B0">
            <w:pPr>
              <w:pStyle w:val="NoSpacing"/>
              <w:rPr>
                <w:b/>
                <w:bCs/>
              </w:rPr>
            </w:pPr>
            <w:r w:rsidRPr="00E576B0">
              <w:rPr>
                <w:b/>
                <w:bCs/>
                <w:sz w:val="24"/>
                <w:szCs w:val="24"/>
              </w:rPr>
              <w:t>Expected Charge(s)</w:t>
            </w:r>
          </w:p>
        </w:tc>
      </w:tr>
      <w:tr w:rsidR="00E576B0" w14:paraId="615811BB" w14:textId="2E0013CB" w:rsidTr="00E9184A">
        <w:trPr>
          <w:trHeight w:val="372"/>
        </w:trPr>
        <w:tc>
          <w:tcPr>
            <w:tcW w:w="535" w:type="dxa"/>
          </w:tcPr>
          <w:p w14:paraId="405A400D" w14:textId="382D058B" w:rsidR="00180D1C" w:rsidRDefault="00E9184A" w:rsidP="00BF6EE7">
            <w:pPr>
              <w:pStyle w:val="NoSpacing"/>
              <w:jc w:val="center"/>
              <w:rPr>
                <w:sz w:val="24"/>
                <w:szCs w:val="24"/>
              </w:rPr>
            </w:pPr>
            <w:r>
              <w:rPr>
                <w:noProof/>
                <w:sz w:val="24"/>
                <w:szCs w:val="24"/>
              </w:rPr>
              <w:drawing>
                <wp:anchor distT="0" distB="0" distL="114300" distR="114300" simplePos="0" relativeHeight="251661312" behindDoc="0" locked="0" layoutInCell="1" allowOverlap="1" wp14:anchorId="678E2F43" wp14:editId="1E17578B">
                  <wp:simplePos x="0" y="0"/>
                  <wp:positionH relativeFrom="column">
                    <wp:posOffset>24130</wp:posOffset>
                  </wp:positionH>
                  <wp:positionV relativeFrom="paragraph">
                    <wp:posOffset>64770</wp:posOffset>
                  </wp:positionV>
                  <wp:extent cx="146050" cy="11874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46050" cy="118745"/>
                          </a:xfrm>
                          <a:prstGeom prst="rect">
                            <a:avLst/>
                          </a:prstGeom>
                          <a:noFill/>
                        </pic:spPr>
                      </pic:pic>
                    </a:graphicData>
                  </a:graphic>
                </wp:anchor>
              </w:drawing>
            </w:r>
          </w:p>
        </w:tc>
        <w:tc>
          <w:tcPr>
            <w:tcW w:w="3231" w:type="dxa"/>
            <w:shd w:val="clear" w:color="auto" w:fill="auto"/>
          </w:tcPr>
          <w:p w14:paraId="2DA74465" w14:textId="77777777" w:rsidR="00180D1C" w:rsidRDefault="00180D1C" w:rsidP="00E576B0">
            <w:pPr>
              <w:rPr>
                <w:sz w:val="24"/>
                <w:szCs w:val="24"/>
              </w:rPr>
            </w:pPr>
          </w:p>
        </w:tc>
        <w:tc>
          <w:tcPr>
            <w:tcW w:w="1706" w:type="dxa"/>
            <w:gridSpan w:val="2"/>
            <w:shd w:val="clear" w:color="auto" w:fill="auto"/>
          </w:tcPr>
          <w:p w14:paraId="299E8CB9" w14:textId="77777777" w:rsidR="00180D1C" w:rsidRDefault="00180D1C" w:rsidP="00E576B0">
            <w:pPr>
              <w:rPr>
                <w:sz w:val="24"/>
                <w:szCs w:val="24"/>
              </w:rPr>
            </w:pPr>
          </w:p>
        </w:tc>
        <w:tc>
          <w:tcPr>
            <w:tcW w:w="1775" w:type="dxa"/>
            <w:gridSpan w:val="4"/>
            <w:shd w:val="clear" w:color="auto" w:fill="auto"/>
          </w:tcPr>
          <w:p w14:paraId="2B090CF8" w14:textId="77777777" w:rsidR="00180D1C" w:rsidRDefault="00180D1C" w:rsidP="00E576B0">
            <w:pPr>
              <w:rPr>
                <w:sz w:val="24"/>
                <w:szCs w:val="24"/>
              </w:rPr>
            </w:pPr>
          </w:p>
        </w:tc>
        <w:tc>
          <w:tcPr>
            <w:tcW w:w="1254" w:type="dxa"/>
            <w:shd w:val="clear" w:color="auto" w:fill="auto"/>
          </w:tcPr>
          <w:p w14:paraId="501E1B09" w14:textId="77777777" w:rsidR="00180D1C" w:rsidRDefault="00180D1C" w:rsidP="00E576B0">
            <w:pPr>
              <w:rPr>
                <w:sz w:val="24"/>
                <w:szCs w:val="24"/>
              </w:rPr>
            </w:pPr>
          </w:p>
        </w:tc>
        <w:tc>
          <w:tcPr>
            <w:tcW w:w="1484" w:type="dxa"/>
            <w:shd w:val="clear" w:color="auto" w:fill="auto"/>
          </w:tcPr>
          <w:p w14:paraId="54041F52" w14:textId="77777777" w:rsidR="00180D1C" w:rsidRDefault="00180D1C" w:rsidP="00E576B0">
            <w:pPr>
              <w:rPr>
                <w:sz w:val="24"/>
                <w:szCs w:val="24"/>
              </w:rPr>
            </w:pPr>
          </w:p>
        </w:tc>
      </w:tr>
      <w:tr w:rsidR="00E576B0" w14:paraId="3CF5D6A4" w14:textId="39A93975" w:rsidTr="00E9184A">
        <w:trPr>
          <w:trHeight w:val="336"/>
        </w:trPr>
        <w:tc>
          <w:tcPr>
            <w:tcW w:w="535" w:type="dxa"/>
          </w:tcPr>
          <w:p w14:paraId="55411600" w14:textId="440B7D27" w:rsidR="00180D1C" w:rsidRDefault="00BF6EE7" w:rsidP="00BF6EE7">
            <w:pPr>
              <w:pStyle w:val="NoSpacing"/>
              <w:jc w:val="center"/>
              <w:rPr>
                <w:sz w:val="24"/>
                <w:szCs w:val="24"/>
              </w:rPr>
            </w:pPr>
            <w:r>
              <w:rPr>
                <w:noProof/>
                <w:sz w:val="24"/>
                <w:szCs w:val="24"/>
              </w:rPr>
              <w:drawing>
                <wp:inline distT="0" distB="0" distL="0" distR="0" wp14:anchorId="138C9E18" wp14:editId="71E6C561">
                  <wp:extent cx="146050" cy="1155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
        </w:tc>
        <w:tc>
          <w:tcPr>
            <w:tcW w:w="3231" w:type="dxa"/>
            <w:shd w:val="clear" w:color="auto" w:fill="auto"/>
          </w:tcPr>
          <w:p w14:paraId="0B37216F" w14:textId="77777777" w:rsidR="00180D1C" w:rsidRDefault="00180D1C" w:rsidP="00E576B0">
            <w:pPr>
              <w:rPr>
                <w:sz w:val="24"/>
                <w:szCs w:val="24"/>
              </w:rPr>
            </w:pPr>
          </w:p>
        </w:tc>
        <w:tc>
          <w:tcPr>
            <w:tcW w:w="1706" w:type="dxa"/>
            <w:gridSpan w:val="2"/>
            <w:shd w:val="clear" w:color="auto" w:fill="auto"/>
          </w:tcPr>
          <w:p w14:paraId="73339052" w14:textId="77777777" w:rsidR="00180D1C" w:rsidRDefault="00180D1C" w:rsidP="00E576B0">
            <w:pPr>
              <w:rPr>
                <w:sz w:val="24"/>
                <w:szCs w:val="24"/>
              </w:rPr>
            </w:pPr>
          </w:p>
        </w:tc>
        <w:tc>
          <w:tcPr>
            <w:tcW w:w="1775" w:type="dxa"/>
            <w:gridSpan w:val="4"/>
            <w:shd w:val="clear" w:color="auto" w:fill="auto"/>
          </w:tcPr>
          <w:p w14:paraId="249AC9EC" w14:textId="77777777" w:rsidR="00180D1C" w:rsidRDefault="00180D1C" w:rsidP="00E576B0">
            <w:pPr>
              <w:rPr>
                <w:sz w:val="24"/>
                <w:szCs w:val="24"/>
              </w:rPr>
            </w:pPr>
          </w:p>
        </w:tc>
        <w:tc>
          <w:tcPr>
            <w:tcW w:w="1254" w:type="dxa"/>
            <w:shd w:val="clear" w:color="auto" w:fill="auto"/>
          </w:tcPr>
          <w:p w14:paraId="1C4261A8" w14:textId="77777777" w:rsidR="00180D1C" w:rsidRDefault="00180D1C" w:rsidP="00E576B0">
            <w:pPr>
              <w:rPr>
                <w:sz w:val="24"/>
                <w:szCs w:val="24"/>
              </w:rPr>
            </w:pPr>
          </w:p>
        </w:tc>
        <w:tc>
          <w:tcPr>
            <w:tcW w:w="1484" w:type="dxa"/>
            <w:shd w:val="clear" w:color="auto" w:fill="auto"/>
          </w:tcPr>
          <w:p w14:paraId="2C0E05A9" w14:textId="77777777" w:rsidR="00180D1C" w:rsidRDefault="00180D1C" w:rsidP="00E576B0">
            <w:pPr>
              <w:rPr>
                <w:sz w:val="24"/>
                <w:szCs w:val="24"/>
              </w:rPr>
            </w:pPr>
          </w:p>
        </w:tc>
      </w:tr>
      <w:tr w:rsidR="00E576B0" w14:paraId="07DE8078" w14:textId="14ACC33C" w:rsidTr="00E9184A">
        <w:trPr>
          <w:trHeight w:val="399"/>
        </w:trPr>
        <w:tc>
          <w:tcPr>
            <w:tcW w:w="535" w:type="dxa"/>
          </w:tcPr>
          <w:p w14:paraId="4DDF3AC5" w14:textId="07CD122B" w:rsidR="00180D1C" w:rsidRDefault="00BF6EE7" w:rsidP="00BF6EE7">
            <w:pPr>
              <w:pStyle w:val="NoSpacing"/>
              <w:jc w:val="center"/>
              <w:rPr>
                <w:sz w:val="24"/>
                <w:szCs w:val="24"/>
              </w:rPr>
            </w:pPr>
            <w:r>
              <w:rPr>
                <w:noProof/>
                <w:sz w:val="24"/>
                <w:szCs w:val="24"/>
              </w:rPr>
              <w:drawing>
                <wp:inline distT="0" distB="0" distL="0" distR="0" wp14:anchorId="429FBD6B" wp14:editId="7C58E9C8">
                  <wp:extent cx="146050" cy="1155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
        </w:tc>
        <w:tc>
          <w:tcPr>
            <w:tcW w:w="3231" w:type="dxa"/>
            <w:shd w:val="clear" w:color="auto" w:fill="auto"/>
          </w:tcPr>
          <w:p w14:paraId="7716838D" w14:textId="77777777" w:rsidR="00180D1C" w:rsidRDefault="00180D1C" w:rsidP="00E576B0">
            <w:pPr>
              <w:rPr>
                <w:sz w:val="24"/>
                <w:szCs w:val="24"/>
              </w:rPr>
            </w:pPr>
          </w:p>
        </w:tc>
        <w:tc>
          <w:tcPr>
            <w:tcW w:w="1706" w:type="dxa"/>
            <w:gridSpan w:val="2"/>
            <w:shd w:val="clear" w:color="auto" w:fill="auto"/>
          </w:tcPr>
          <w:p w14:paraId="61DE9596" w14:textId="77777777" w:rsidR="00180D1C" w:rsidRDefault="00180D1C" w:rsidP="00E576B0">
            <w:pPr>
              <w:rPr>
                <w:sz w:val="24"/>
                <w:szCs w:val="24"/>
              </w:rPr>
            </w:pPr>
          </w:p>
        </w:tc>
        <w:tc>
          <w:tcPr>
            <w:tcW w:w="1775" w:type="dxa"/>
            <w:gridSpan w:val="4"/>
            <w:shd w:val="clear" w:color="auto" w:fill="auto"/>
          </w:tcPr>
          <w:p w14:paraId="0FE284BF" w14:textId="77777777" w:rsidR="00180D1C" w:rsidRDefault="00180D1C" w:rsidP="00E576B0">
            <w:pPr>
              <w:rPr>
                <w:sz w:val="24"/>
                <w:szCs w:val="24"/>
              </w:rPr>
            </w:pPr>
          </w:p>
        </w:tc>
        <w:tc>
          <w:tcPr>
            <w:tcW w:w="1254" w:type="dxa"/>
            <w:shd w:val="clear" w:color="auto" w:fill="auto"/>
          </w:tcPr>
          <w:p w14:paraId="4E25A160" w14:textId="77777777" w:rsidR="00180D1C" w:rsidRDefault="00180D1C" w:rsidP="00E576B0">
            <w:pPr>
              <w:rPr>
                <w:sz w:val="24"/>
                <w:szCs w:val="24"/>
              </w:rPr>
            </w:pPr>
          </w:p>
        </w:tc>
        <w:tc>
          <w:tcPr>
            <w:tcW w:w="1484" w:type="dxa"/>
            <w:shd w:val="clear" w:color="auto" w:fill="auto"/>
          </w:tcPr>
          <w:p w14:paraId="42CA905D" w14:textId="77777777" w:rsidR="00180D1C" w:rsidRDefault="00180D1C" w:rsidP="00E576B0">
            <w:pPr>
              <w:rPr>
                <w:sz w:val="24"/>
                <w:szCs w:val="24"/>
              </w:rPr>
            </w:pPr>
          </w:p>
        </w:tc>
      </w:tr>
      <w:tr w:rsidR="00E576B0" w14:paraId="5C7C6AF1" w14:textId="0DDF0B59" w:rsidTr="00E9184A">
        <w:trPr>
          <w:trHeight w:val="309"/>
        </w:trPr>
        <w:tc>
          <w:tcPr>
            <w:tcW w:w="535" w:type="dxa"/>
          </w:tcPr>
          <w:p w14:paraId="5D63E606" w14:textId="613EBCA8" w:rsidR="00180D1C" w:rsidRDefault="00BF6EE7" w:rsidP="00BF6EE7">
            <w:pPr>
              <w:pStyle w:val="NoSpacing"/>
              <w:jc w:val="center"/>
              <w:rPr>
                <w:sz w:val="24"/>
                <w:szCs w:val="24"/>
              </w:rPr>
            </w:pPr>
            <w:r>
              <w:rPr>
                <w:noProof/>
                <w:sz w:val="24"/>
                <w:szCs w:val="24"/>
              </w:rPr>
              <w:drawing>
                <wp:inline distT="0" distB="0" distL="0" distR="0" wp14:anchorId="4223A858" wp14:editId="725AE603">
                  <wp:extent cx="146050" cy="11557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
        </w:tc>
        <w:tc>
          <w:tcPr>
            <w:tcW w:w="3231" w:type="dxa"/>
            <w:shd w:val="clear" w:color="auto" w:fill="auto"/>
          </w:tcPr>
          <w:p w14:paraId="4DEE2998" w14:textId="77777777" w:rsidR="00180D1C" w:rsidRDefault="00180D1C" w:rsidP="00E576B0">
            <w:pPr>
              <w:rPr>
                <w:sz w:val="24"/>
                <w:szCs w:val="24"/>
              </w:rPr>
            </w:pPr>
          </w:p>
        </w:tc>
        <w:tc>
          <w:tcPr>
            <w:tcW w:w="1706" w:type="dxa"/>
            <w:gridSpan w:val="2"/>
            <w:shd w:val="clear" w:color="auto" w:fill="auto"/>
          </w:tcPr>
          <w:p w14:paraId="5ED8C036" w14:textId="77777777" w:rsidR="00180D1C" w:rsidRDefault="00180D1C" w:rsidP="00E576B0">
            <w:pPr>
              <w:rPr>
                <w:sz w:val="24"/>
                <w:szCs w:val="24"/>
              </w:rPr>
            </w:pPr>
          </w:p>
        </w:tc>
        <w:tc>
          <w:tcPr>
            <w:tcW w:w="1775" w:type="dxa"/>
            <w:gridSpan w:val="4"/>
            <w:shd w:val="clear" w:color="auto" w:fill="auto"/>
          </w:tcPr>
          <w:p w14:paraId="4D3D725B" w14:textId="77777777" w:rsidR="00180D1C" w:rsidRDefault="00180D1C" w:rsidP="00E576B0">
            <w:pPr>
              <w:rPr>
                <w:sz w:val="24"/>
                <w:szCs w:val="24"/>
              </w:rPr>
            </w:pPr>
          </w:p>
        </w:tc>
        <w:tc>
          <w:tcPr>
            <w:tcW w:w="1254" w:type="dxa"/>
            <w:shd w:val="clear" w:color="auto" w:fill="auto"/>
          </w:tcPr>
          <w:p w14:paraId="52E09C75" w14:textId="77777777" w:rsidR="00180D1C" w:rsidRDefault="00180D1C" w:rsidP="00E576B0">
            <w:pPr>
              <w:rPr>
                <w:sz w:val="24"/>
                <w:szCs w:val="24"/>
              </w:rPr>
            </w:pPr>
          </w:p>
        </w:tc>
        <w:tc>
          <w:tcPr>
            <w:tcW w:w="1484" w:type="dxa"/>
            <w:shd w:val="clear" w:color="auto" w:fill="auto"/>
          </w:tcPr>
          <w:p w14:paraId="40C31CD0" w14:textId="77777777" w:rsidR="00180D1C" w:rsidRDefault="00180D1C" w:rsidP="00E576B0">
            <w:pPr>
              <w:rPr>
                <w:sz w:val="24"/>
                <w:szCs w:val="24"/>
              </w:rPr>
            </w:pPr>
          </w:p>
        </w:tc>
      </w:tr>
      <w:tr w:rsidR="00E576B0" w14:paraId="63DC4091" w14:textId="508108A1" w:rsidTr="00E9184A">
        <w:trPr>
          <w:trHeight w:val="183"/>
        </w:trPr>
        <w:tc>
          <w:tcPr>
            <w:tcW w:w="535" w:type="dxa"/>
          </w:tcPr>
          <w:p w14:paraId="638AEE13" w14:textId="3ED86C59" w:rsidR="001230EC" w:rsidRDefault="00BF6EE7" w:rsidP="00BF6EE7">
            <w:pPr>
              <w:pStyle w:val="NoSpacing"/>
              <w:jc w:val="center"/>
              <w:rPr>
                <w:sz w:val="24"/>
                <w:szCs w:val="24"/>
              </w:rPr>
            </w:pPr>
            <w:r>
              <w:rPr>
                <w:noProof/>
                <w:sz w:val="24"/>
                <w:szCs w:val="24"/>
              </w:rPr>
              <w:drawing>
                <wp:inline distT="0" distB="0" distL="0" distR="0" wp14:anchorId="752BAE99" wp14:editId="412B75A1">
                  <wp:extent cx="146050" cy="11557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
        </w:tc>
        <w:tc>
          <w:tcPr>
            <w:tcW w:w="3231" w:type="dxa"/>
            <w:shd w:val="clear" w:color="auto" w:fill="auto"/>
          </w:tcPr>
          <w:p w14:paraId="5EFE5948" w14:textId="77777777" w:rsidR="001230EC" w:rsidRDefault="001230EC" w:rsidP="00E576B0">
            <w:pPr>
              <w:rPr>
                <w:sz w:val="24"/>
                <w:szCs w:val="24"/>
              </w:rPr>
            </w:pPr>
          </w:p>
        </w:tc>
        <w:tc>
          <w:tcPr>
            <w:tcW w:w="1706" w:type="dxa"/>
            <w:gridSpan w:val="2"/>
            <w:shd w:val="clear" w:color="auto" w:fill="auto"/>
          </w:tcPr>
          <w:p w14:paraId="3E018B28" w14:textId="77777777" w:rsidR="001230EC" w:rsidRDefault="001230EC" w:rsidP="00E576B0">
            <w:pPr>
              <w:rPr>
                <w:sz w:val="24"/>
                <w:szCs w:val="24"/>
              </w:rPr>
            </w:pPr>
          </w:p>
        </w:tc>
        <w:tc>
          <w:tcPr>
            <w:tcW w:w="1775" w:type="dxa"/>
            <w:gridSpan w:val="4"/>
            <w:shd w:val="clear" w:color="auto" w:fill="auto"/>
          </w:tcPr>
          <w:p w14:paraId="43EA13EB" w14:textId="77777777" w:rsidR="001230EC" w:rsidRDefault="001230EC" w:rsidP="00E576B0">
            <w:pPr>
              <w:rPr>
                <w:sz w:val="24"/>
                <w:szCs w:val="24"/>
              </w:rPr>
            </w:pPr>
          </w:p>
        </w:tc>
        <w:tc>
          <w:tcPr>
            <w:tcW w:w="1254" w:type="dxa"/>
            <w:shd w:val="clear" w:color="auto" w:fill="auto"/>
          </w:tcPr>
          <w:p w14:paraId="6D5427A0" w14:textId="77777777" w:rsidR="001230EC" w:rsidRDefault="001230EC" w:rsidP="00E576B0">
            <w:pPr>
              <w:rPr>
                <w:sz w:val="24"/>
                <w:szCs w:val="24"/>
              </w:rPr>
            </w:pPr>
          </w:p>
        </w:tc>
        <w:tc>
          <w:tcPr>
            <w:tcW w:w="1484" w:type="dxa"/>
            <w:shd w:val="clear" w:color="auto" w:fill="auto"/>
          </w:tcPr>
          <w:p w14:paraId="0134EAB9" w14:textId="77777777" w:rsidR="001230EC" w:rsidRDefault="001230EC" w:rsidP="00E576B0">
            <w:pPr>
              <w:rPr>
                <w:sz w:val="24"/>
                <w:szCs w:val="24"/>
              </w:rPr>
            </w:pPr>
          </w:p>
        </w:tc>
      </w:tr>
      <w:tr w:rsidR="00E576B0" w14:paraId="560DEE94" w14:textId="7E078E9D" w:rsidTr="00E9184A">
        <w:trPr>
          <w:trHeight w:val="156"/>
        </w:trPr>
        <w:tc>
          <w:tcPr>
            <w:tcW w:w="535" w:type="dxa"/>
          </w:tcPr>
          <w:p w14:paraId="710B3570" w14:textId="0FC15AB7" w:rsidR="001230EC" w:rsidRDefault="00BF6EE7" w:rsidP="00BF6EE7">
            <w:pPr>
              <w:pStyle w:val="NoSpacing"/>
              <w:jc w:val="center"/>
              <w:rPr>
                <w:sz w:val="24"/>
                <w:szCs w:val="24"/>
              </w:rPr>
            </w:pPr>
            <w:r>
              <w:rPr>
                <w:noProof/>
                <w:sz w:val="24"/>
                <w:szCs w:val="24"/>
              </w:rPr>
              <w:drawing>
                <wp:inline distT="0" distB="0" distL="0" distR="0" wp14:anchorId="42838571" wp14:editId="4C83E2A8">
                  <wp:extent cx="146050" cy="11557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
        </w:tc>
        <w:tc>
          <w:tcPr>
            <w:tcW w:w="3231" w:type="dxa"/>
            <w:shd w:val="clear" w:color="auto" w:fill="auto"/>
          </w:tcPr>
          <w:p w14:paraId="16062F8D" w14:textId="77777777" w:rsidR="001230EC" w:rsidRDefault="001230EC" w:rsidP="00E576B0">
            <w:pPr>
              <w:rPr>
                <w:sz w:val="24"/>
                <w:szCs w:val="24"/>
              </w:rPr>
            </w:pPr>
          </w:p>
        </w:tc>
        <w:tc>
          <w:tcPr>
            <w:tcW w:w="1706" w:type="dxa"/>
            <w:gridSpan w:val="2"/>
            <w:shd w:val="clear" w:color="auto" w:fill="auto"/>
          </w:tcPr>
          <w:p w14:paraId="6B34F024" w14:textId="77777777" w:rsidR="001230EC" w:rsidRDefault="001230EC" w:rsidP="00E576B0">
            <w:pPr>
              <w:rPr>
                <w:sz w:val="24"/>
                <w:szCs w:val="24"/>
              </w:rPr>
            </w:pPr>
          </w:p>
        </w:tc>
        <w:tc>
          <w:tcPr>
            <w:tcW w:w="1775" w:type="dxa"/>
            <w:gridSpan w:val="4"/>
            <w:shd w:val="clear" w:color="auto" w:fill="auto"/>
          </w:tcPr>
          <w:p w14:paraId="7C3D0BA5" w14:textId="77777777" w:rsidR="001230EC" w:rsidRDefault="001230EC" w:rsidP="00E576B0">
            <w:pPr>
              <w:rPr>
                <w:sz w:val="24"/>
                <w:szCs w:val="24"/>
              </w:rPr>
            </w:pPr>
          </w:p>
        </w:tc>
        <w:tc>
          <w:tcPr>
            <w:tcW w:w="1254" w:type="dxa"/>
            <w:shd w:val="clear" w:color="auto" w:fill="auto"/>
          </w:tcPr>
          <w:p w14:paraId="601418C8" w14:textId="77777777" w:rsidR="001230EC" w:rsidRDefault="001230EC" w:rsidP="00E576B0">
            <w:pPr>
              <w:rPr>
                <w:sz w:val="24"/>
                <w:szCs w:val="24"/>
              </w:rPr>
            </w:pPr>
          </w:p>
        </w:tc>
        <w:tc>
          <w:tcPr>
            <w:tcW w:w="1484" w:type="dxa"/>
            <w:shd w:val="clear" w:color="auto" w:fill="auto"/>
          </w:tcPr>
          <w:p w14:paraId="02F714B3" w14:textId="77777777" w:rsidR="001230EC" w:rsidRDefault="001230EC" w:rsidP="00E576B0">
            <w:pPr>
              <w:rPr>
                <w:sz w:val="24"/>
                <w:szCs w:val="24"/>
              </w:rPr>
            </w:pPr>
          </w:p>
        </w:tc>
      </w:tr>
      <w:tr w:rsidR="00E576B0" w14:paraId="2B6638D0" w14:textId="7598A258" w:rsidTr="00E576B0">
        <w:trPr>
          <w:trHeight w:val="1559"/>
        </w:trPr>
        <w:tc>
          <w:tcPr>
            <w:tcW w:w="5485" w:type="dxa"/>
            <w:gridSpan w:val="5"/>
          </w:tcPr>
          <w:p w14:paraId="1E3326DA" w14:textId="1DB6FEF3" w:rsidR="00E576B0" w:rsidRPr="001230EC" w:rsidRDefault="00E576B0" w:rsidP="00E576B0">
            <w:pPr>
              <w:pStyle w:val="NoSpacing"/>
              <w:rPr>
                <w:b/>
                <w:bCs/>
                <w:sz w:val="24"/>
                <w:szCs w:val="24"/>
              </w:rPr>
            </w:pPr>
            <w:r>
              <w:rPr>
                <w:b/>
                <w:bCs/>
                <w:sz w:val="24"/>
                <w:szCs w:val="24"/>
              </w:rPr>
              <w:t>Additional Provider Notes:</w:t>
            </w:r>
          </w:p>
        </w:tc>
        <w:tc>
          <w:tcPr>
            <w:tcW w:w="4500" w:type="dxa"/>
            <w:gridSpan w:val="5"/>
          </w:tcPr>
          <w:p w14:paraId="7B9911F6" w14:textId="6DBC9201" w:rsidR="00E576B0" w:rsidRPr="001230EC" w:rsidRDefault="00E576B0" w:rsidP="00E576B0">
            <w:pPr>
              <w:pStyle w:val="NoSpacing"/>
              <w:rPr>
                <w:b/>
                <w:bCs/>
                <w:sz w:val="24"/>
                <w:szCs w:val="24"/>
              </w:rPr>
            </w:pPr>
            <w:r>
              <w:rPr>
                <w:b/>
                <w:bCs/>
                <w:sz w:val="24"/>
                <w:szCs w:val="24"/>
              </w:rPr>
              <w:t>Total Expected Charges:</w:t>
            </w:r>
          </w:p>
        </w:tc>
      </w:tr>
    </w:tbl>
    <w:p w14:paraId="673ABBC2" w14:textId="57D73856" w:rsidR="006C106A" w:rsidRDefault="006C106A" w:rsidP="006C106A">
      <w:pPr>
        <w:pStyle w:val="NoSpacing"/>
        <w:rPr>
          <w:sz w:val="24"/>
          <w:szCs w:val="24"/>
        </w:rPr>
      </w:pPr>
    </w:p>
    <w:p w14:paraId="5BC78581" w14:textId="77777777" w:rsidR="00113C3A" w:rsidRDefault="00113C3A" w:rsidP="00284B50">
      <w:pPr>
        <w:pStyle w:val="NoSpacing"/>
        <w:jc w:val="center"/>
        <w:rPr>
          <w:b/>
          <w:bCs/>
          <w:sz w:val="32"/>
          <w:szCs w:val="32"/>
        </w:rPr>
      </w:pPr>
    </w:p>
    <w:p w14:paraId="76990CE9" w14:textId="604BECC7" w:rsidR="00284B50" w:rsidRPr="00284B50" w:rsidRDefault="00284B50" w:rsidP="00284B50">
      <w:pPr>
        <w:pStyle w:val="NoSpacing"/>
        <w:jc w:val="center"/>
        <w:rPr>
          <w:b/>
          <w:bCs/>
          <w:sz w:val="24"/>
          <w:szCs w:val="24"/>
        </w:rPr>
      </w:pPr>
      <w:r w:rsidRPr="00284B50">
        <w:rPr>
          <w:b/>
          <w:bCs/>
          <w:sz w:val="32"/>
          <w:szCs w:val="32"/>
        </w:rPr>
        <w:t>Federal No Surprise Act Disclaimer (Uninsured or Self-Pay Patients)</w:t>
      </w:r>
    </w:p>
    <w:p w14:paraId="2846855B" w14:textId="77777777" w:rsidR="00284B50" w:rsidRPr="00284B50" w:rsidRDefault="00284B50" w:rsidP="006C106A">
      <w:pPr>
        <w:pStyle w:val="NoSpacing"/>
        <w:rPr>
          <w:sz w:val="18"/>
          <w:szCs w:val="18"/>
        </w:rPr>
      </w:pPr>
    </w:p>
    <w:p w14:paraId="61CCDBE8" w14:textId="77777777" w:rsidR="00FB4343" w:rsidRDefault="00284B50" w:rsidP="00D92130">
      <w:pPr>
        <w:pStyle w:val="NoSpacing"/>
      </w:pPr>
      <w:r w:rsidRPr="008A6F26">
        <w:t xml:space="preserve">Separate Good Faith Estimates will be issued to an uninsured (or self-pay) individual upon scheduling or upon request of the </w:t>
      </w:r>
      <w:r w:rsidR="00BC2EB8">
        <w:t>previous pages</w:t>
      </w:r>
      <w:r w:rsidRPr="008A6F26">
        <w:t xml:space="preserve"> listed items and services. For items and services included in this list, information such as diagnosis codes, expected charges, and provider o</w:t>
      </w:r>
      <w:r w:rsidR="00FB4343">
        <w:t>r</w:t>
      </w:r>
      <w:r w:rsidRPr="008A6F26">
        <w:t xml:space="preserve"> facility identifiers will be provided in a </w:t>
      </w:r>
      <w:r w:rsidR="0060403E" w:rsidRPr="008A6F26">
        <w:t>separate Good Faith estimate</w:t>
      </w:r>
      <w:r w:rsidRPr="008A6F26">
        <w:t xml:space="preserve"> upon scheduling or upon request of such items or services. </w:t>
      </w:r>
    </w:p>
    <w:p w14:paraId="6658D2A7" w14:textId="2AC1A467" w:rsidR="006C106A" w:rsidRDefault="00284B50" w:rsidP="00D92130">
      <w:pPr>
        <w:pStyle w:val="NoSpacing"/>
      </w:pPr>
      <w:r w:rsidRPr="008A6F26">
        <w:t xml:space="preserve">A good faith estimate may be obtained by contacting Traverse Bay Internal Medicine at 231-486-5516. </w:t>
      </w:r>
    </w:p>
    <w:p w14:paraId="5CF5FD05" w14:textId="77777777" w:rsidR="0060403E" w:rsidRPr="0060403E" w:rsidRDefault="0060403E" w:rsidP="00D92130">
      <w:pPr>
        <w:pStyle w:val="NoSpacing"/>
        <w:rPr>
          <w:sz w:val="10"/>
          <w:szCs w:val="10"/>
        </w:rPr>
      </w:pPr>
    </w:p>
    <w:p w14:paraId="72517541" w14:textId="783D961F" w:rsidR="00D92130" w:rsidRDefault="008A6F26" w:rsidP="00D92130">
      <w:pPr>
        <w:pStyle w:val="NoSpacing"/>
      </w:pPr>
      <w:r>
        <w:t>On page one of this Good Faith Estimate, it shows the costs of items and services that are reasonably expected for your health care needs for an item or service. The estimate is based on information known at the time the estimate was created. Actual items, services, or charges may differ from the Good Faith Estimate (GFE). There may be additional items or services the provider recommends as part of the course of care that must be scheduled or requested separately and are not reflected in</w:t>
      </w:r>
      <w:r w:rsidR="00D92130">
        <w:t xml:space="preserve"> </w:t>
      </w:r>
      <w:r w:rsidR="006668AA">
        <w:t>the</w:t>
      </w:r>
      <w:r w:rsidR="00D92130">
        <w:t xml:space="preserve"> Good Faith Estimate. </w:t>
      </w:r>
      <w:r>
        <w:t>The Food Faith Estimate is not a contract</w:t>
      </w:r>
      <w:r w:rsidR="00D92130">
        <w:t xml:space="preserve"> and does not require you to obtain </w:t>
      </w:r>
      <w:r w:rsidR="00517BE3">
        <w:t>t</w:t>
      </w:r>
      <w:r w:rsidR="00D92130">
        <w:t>he items and services from any of the providers or facility identified in the Good Faith Estimate. The Good Faith Estimate does not include any unknown or unexpected costs that may arise during treatment. You Could be charged more if complications or special circumstances occur. If this happens, and your bill is over $400 or more for any provider o</w:t>
      </w:r>
      <w:r w:rsidR="00517BE3">
        <w:t>r</w:t>
      </w:r>
      <w:r w:rsidR="00D92130">
        <w:t xml:space="preserve"> facility than your Good Faith Estimate for that provider or facility</w:t>
      </w:r>
      <w:r w:rsidR="00517BE3">
        <w:t>, it</w:t>
      </w:r>
      <w:r w:rsidR="00D92130">
        <w:t xml:space="preserve"> can be disputed per federal law. Initiation of the patient-provider dispute resolution process will not adversely affect the quality of health care services furnished to you by a provider or facility. </w:t>
      </w:r>
    </w:p>
    <w:p w14:paraId="13B93C02" w14:textId="77777777" w:rsidR="0060403E" w:rsidRPr="0060403E" w:rsidRDefault="0060403E" w:rsidP="00D92130">
      <w:pPr>
        <w:pStyle w:val="NoSpacing"/>
        <w:rPr>
          <w:sz w:val="10"/>
          <w:szCs w:val="10"/>
        </w:rPr>
      </w:pPr>
    </w:p>
    <w:p w14:paraId="5B139094" w14:textId="443FC78F" w:rsidR="008A6F26" w:rsidRDefault="00D92130" w:rsidP="00D92130">
      <w:pPr>
        <w:pStyle w:val="NoSpacing"/>
      </w:pPr>
      <w:r>
        <w:rPr>
          <w:b/>
          <w:bCs/>
        </w:rPr>
        <w:t xml:space="preserve">If you are billed for more than this Good Faith Estimate, you may have the right to dispute the bill. </w:t>
      </w:r>
      <w:r>
        <w:t xml:space="preserve"> </w:t>
      </w:r>
    </w:p>
    <w:p w14:paraId="5DD78094" w14:textId="2F6CA07B" w:rsidR="0060403E" w:rsidRPr="0060403E" w:rsidRDefault="0060403E" w:rsidP="00D92130">
      <w:pPr>
        <w:pStyle w:val="NoSpacing"/>
        <w:rPr>
          <w:sz w:val="10"/>
          <w:szCs w:val="10"/>
        </w:rPr>
      </w:pPr>
    </w:p>
    <w:p w14:paraId="75556C0B" w14:textId="553191BB" w:rsidR="0060403E" w:rsidRDefault="0060403E" w:rsidP="00D92130">
      <w:pPr>
        <w:pStyle w:val="NoSpacing"/>
      </w:pPr>
      <w:r>
        <w:t xml:space="preserve">You may contact the health care provider or facility listed to let them know </w:t>
      </w:r>
      <w:r w:rsidR="00517BE3">
        <w:t xml:space="preserve">that </w:t>
      </w:r>
      <w:r>
        <w:t xml:space="preserve">the billed charges are higher than the Good Faith Estimate. You can ask them to update the bill to match the Good Faith Estimate, ask to negotiate the bill, or ask if there is financial assistance available. </w:t>
      </w:r>
    </w:p>
    <w:p w14:paraId="67C04585" w14:textId="090550FD" w:rsidR="0060403E" w:rsidRDefault="0060403E" w:rsidP="00D92130">
      <w:pPr>
        <w:pStyle w:val="NoSpacing"/>
      </w:pPr>
      <w:r>
        <w:t>You may also start a dispute resolution process with the U.</w:t>
      </w:r>
      <w:r w:rsidR="006668AA">
        <w:t>S</w:t>
      </w:r>
      <w:r>
        <w:t xml:space="preserve">. Department of Health and Human Services (HHS). If you choose to use the dispute resolution process, you must start the dispute process within 120 calendar days (about four months) of the date on the original bill. </w:t>
      </w:r>
    </w:p>
    <w:p w14:paraId="627E0D60" w14:textId="407A3C89" w:rsidR="0060403E" w:rsidRDefault="0060403E" w:rsidP="00D92130">
      <w:pPr>
        <w:pStyle w:val="NoSpacing"/>
      </w:pPr>
      <w:r>
        <w:t>If you dispute your bill, the provider o</w:t>
      </w:r>
      <w:r w:rsidR="00517BE3">
        <w:t>r</w:t>
      </w:r>
      <w:r>
        <w:t xml:space="preserve"> facility cannot move the bill for the disputed item or service </w:t>
      </w:r>
      <w:r w:rsidR="002B74DF">
        <w:t>o</w:t>
      </w:r>
      <w:r>
        <w:t>n</w:t>
      </w:r>
      <w:r w:rsidR="00517BE3">
        <w:t xml:space="preserve"> </w:t>
      </w:r>
      <w:r>
        <w:t xml:space="preserve">to collection or threaten to do so, or if the bill has already moved </w:t>
      </w:r>
      <w:r w:rsidR="002B74DF">
        <w:t>o</w:t>
      </w:r>
      <w:r>
        <w:t xml:space="preserve">nto collection, the provider or facility </w:t>
      </w:r>
      <w:r w:rsidR="00113C3A">
        <w:t>must</w:t>
      </w:r>
      <w:r>
        <w:t xml:space="preserve"> c</w:t>
      </w:r>
      <w:r w:rsidR="00A144E2">
        <w:t>ease</w:t>
      </w:r>
      <w:r>
        <w:t xml:space="preserve"> collection efforts. </w:t>
      </w:r>
      <w:r w:rsidR="00A144E2">
        <w:t xml:space="preserve">The provider or facility must also suspend the accrual of any late fees </w:t>
      </w:r>
      <w:r w:rsidR="00B3527F">
        <w:t>on unpaid bill amounts until after the dispute resolution process has been concluded. The provider or facility cannot take or threaten to take any retributive action against you for disputing your bill.</w:t>
      </w:r>
    </w:p>
    <w:p w14:paraId="3F37BF34" w14:textId="61B78C3A" w:rsidR="00B3527F" w:rsidRDefault="00B3527F" w:rsidP="00D92130">
      <w:pPr>
        <w:pStyle w:val="NoSpacing"/>
      </w:pPr>
      <w:r>
        <w:t xml:space="preserve">There is a $25 fee to use the dispute process. If the Selected Dispute Resolution (SDR) entity reviewing your dispute agrees with you, you will have to pay the price on this Good Faith Estimate, reduced by the $25 fee. If the SDR entity disagrees with you and agrees with the health care provider or facility, you will have to pay the higher amount. </w:t>
      </w:r>
    </w:p>
    <w:p w14:paraId="598B86C1" w14:textId="0FC4524B" w:rsidR="00B3527F" w:rsidRDefault="00B3527F" w:rsidP="00D92130">
      <w:pPr>
        <w:pStyle w:val="NoSpacing"/>
      </w:pPr>
      <w:r>
        <w:t xml:space="preserve">To learn more and get a form to start the process, go to </w:t>
      </w:r>
      <w:hyperlink r:id="rId9" w:history="1">
        <w:r w:rsidRPr="00EE7505">
          <w:rPr>
            <w:rStyle w:val="Hyperlink"/>
          </w:rPr>
          <w:t>www.cms.gov/nosurprises/consumers</w:t>
        </w:r>
      </w:hyperlink>
      <w:r>
        <w:t xml:space="preserve"> or </w:t>
      </w:r>
    </w:p>
    <w:p w14:paraId="7995CA74" w14:textId="5B81D68D" w:rsidR="00B3527F" w:rsidRDefault="00B3527F" w:rsidP="00D92130">
      <w:pPr>
        <w:pStyle w:val="NoSpacing"/>
      </w:pPr>
      <w:r>
        <w:t xml:space="preserve">call 1-800-985-3059. For questions or information about your right to a Good Faith Estimate or the dispute process, </w:t>
      </w:r>
      <w:r w:rsidR="00113C3A">
        <w:t xml:space="preserve">you can </w:t>
      </w:r>
      <w:r>
        <w:t>visit</w:t>
      </w:r>
      <w:r w:rsidR="00113C3A">
        <w:t xml:space="preserve"> the website at</w:t>
      </w:r>
      <w:r>
        <w:t xml:space="preserve"> </w:t>
      </w:r>
      <w:hyperlink r:id="rId10" w:history="1">
        <w:r w:rsidR="00113C3A" w:rsidRPr="00EE7505">
          <w:rPr>
            <w:rStyle w:val="Hyperlink"/>
          </w:rPr>
          <w:t>www.cms.gov/nosurprises/consumers</w:t>
        </w:r>
      </w:hyperlink>
      <w:r w:rsidR="00113C3A">
        <w:t xml:space="preserve">, you can email </w:t>
      </w:r>
      <w:hyperlink r:id="rId11" w:history="1">
        <w:r w:rsidR="00113C3A" w:rsidRPr="00EE7505">
          <w:rPr>
            <w:rStyle w:val="Hyperlink"/>
          </w:rPr>
          <w:t>FederalPPDRQuestions@cms.hhs.gov</w:t>
        </w:r>
      </w:hyperlink>
      <w:r w:rsidR="00113C3A">
        <w:t xml:space="preserve">, or you can call 1-800-985-3059. </w:t>
      </w:r>
    </w:p>
    <w:p w14:paraId="1F10CB92" w14:textId="625E6C8A" w:rsidR="00113C3A" w:rsidRDefault="00113C3A" w:rsidP="00D92130">
      <w:pPr>
        <w:pStyle w:val="NoSpacing"/>
      </w:pPr>
    </w:p>
    <w:p w14:paraId="5B76D56E" w14:textId="1229D5FA" w:rsidR="00113C3A" w:rsidRPr="00D92130" w:rsidRDefault="00113C3A" w:rsidP="00D92130">
      <w:pPr>
        <w:pStyle w:val="NoSpacing"/>
      </w:pPr>
      <w:r>
        <w:t xml:space="preserve">Keep a copy of this Good Faith Estimate in a safe place or take pictures of it. You may need it if you are billed a higher amount. </w:t>
      </w:r>
    </w:p>
    <w:sectPr w:rsidR="00113C3A" w:rsidRPr="00D9213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0690" w14:textId="77777777" w:rsidR="006C106A" w:rsidRDefault="006C106A" w:rsidP="006C106A">
      <w:pPr>
        <w:spacing w:after="0" w:line="240" w:lineRule="auto"/>
      </w:pPr>
      <w:r>
        <w:separator/>
      </w:r>
    </w:p>
  </w:endnote>
  <w:endnote w:type="continuationSeparator" w:id="0">
    <w:p w14:paraId="2D3A1211" w14:textId="77777777" w:rsidR="006C106A" w:rsidRDefault="006C106A" w:rsidP="006C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B602" w14:textId="77777777" w:rsidR="006C106A" w:rsidRDefault="006C106A" w:rsidP="006C106A">
      <w:pPr>
        <w:spacing w:after="0" w:line="240" w:lineRule="auto"/>
      </w:pPr>
      <w:r>
        <w:separator/>
      </w:r>
    </w:p>
  </w:footnote>
  <w:footnote w:type="continuationSeparator" w:id="0">
    <w:p w14:paraId="0DA4A9B3" w14:textId="77777777" w:rsidR="006C106A" w:rsidRDefault="006C106A" w:rsidP="006C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98B8" w14:textId="55346920" w:rsidR="006C106A" w:rsidRPr="006C106A" w:rsidRDefault="006C106A" w:rsidP="006C106A">
    <w:pPr>
      <w:pStyle w:val="Header"/>
      <w:jc w:val="center"/>
      <w:rPr>
        <w:b/>
        <w:bCs/>
        <w:sz w:val="36"/>
        <w:szCs w:val="36"/>
      </w:rPr>
    </w:pPr>
    <w:r w:rsidRPr="006C106A">
      <w:rPr>
        <w:b/>
        <w:bCs/>
        <w:sz w:val="36"/>
        <w:szCs w:val="36"/>
      </w:rPr>
      <w:t>TRAVERSE BAY INTERNAL MEDICINE</w:t>
    </w:r>
  </w:p>
  <w:p w14:paraId="56B1C152" w14:textId="75241EA5" w:rsidR="006C106A" w:rsidRPr="006C106A" w:rsidRDefault="006C106A" w:rsidP="006C106A">
    <w:pPr>
      <w:pStyle w:val="Header"/>
      <w:jc w:val="center"/>
      <w:rPr>
        <w:b/>
        <w:bCs/>
        <w:sz w:val="36"/>
        <w:szCs w:val="36"/>
      </w:rPr>
    </w:pPr>
    <w:r w:rsidRPr="006C106A">
      <w:rPr>
        <w:b/>
        <w:bCs/>
        <w:sz w:val="36"/>
        <w:szCs w:val="36"/>
      </w:rPr>
      <w:t xml:space="preserve">Good Faith Estimate for Health Care Items and Services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29"/>
    <w:rsid w:val="00113C3A"/>
    <w:rsid w:val="001230EC"/>
    <w:rsid w:val="00180D1C"/>
    <w:rsid w:val="00284B50"/>
    <w:rsid w:val="002B74DF"/>
    <w:rsid w:val="00434C7D"/>
    <w:rsid w:val="004402DF"/>
    <w:rsid w:val="004C348F"/>
    <w:rsid w:val="00517BE3"/>
    <w:rsid w:val="0060403E"/>
    <w:rsid w:val="006668AA"/>
    <w:rsid w:val="006C106A"/>
    <w:rsid w:val="008A6F26"/>
    <w:rsid w:val="009103A6"/>
    <w:rsid w:val="0092400E"/>
    <w:rsid w:val="00A144E2"/>
    <w:rsid w:val="00B3527F"/>
    <w:rsid w:val="00BC2EB8"/>
    <w:rsid w:val="00BF6EE7"/>
    <w:rsid w:val="00C76786"/>
    <w:rsid w:val="00CA07AB"/>
    <w:rsid w:val="00CA41F2"/>
    <w:rsid w:val="00D92130"/>
    <w:rsid w:val="00E44F29"/>
    <w:rsid w:val="00E576B0"/>
    <w:rsid w:val="00E9184A"/>
    <w:rsid w:val="00F31C99"/>
    <w:rsid w:val="00FB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A8CB"/>
  <w15:chartTrackingRefBased/>
  <w15:docId w15:val="{838C3914-CE05-49BA-BCFD-233C0647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06A"/>
    <w:pPr>
      <w:spacing w:after="0" w:line="240" w:lineRule="auto"/>
    </w:pPr>
  </w:style>
  <w:style w:type="paragraph" w:styleId="Header">
    <w:name w:val="header"/>
    <w:basedOn w:val="Normal"/>
    <w:link w:val="HeaderChar"/>
    <w:uiPriority w:val="99"/>
    <w:unhideWhenUsed/>
    <w:rsid w:val="006C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6A"/>
  </w:style>
  <w:style w:type="paragraph" w:styleId="Footer">
    <w:name w:val="footer"/>
    <w:basedOn w:val="Normal"/>
    <w:link w:val="FooterChar"/>
    <w:uiPriority w:val="99"/>
    <w:unhideWhenUsed/>
    <w:rsid w:val="006C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06A"/>
  </w:style>
  <w:style w:type="character" w:styleId="Hyperlink">
    <w:name w:val="Hyperlink"/>
    <w:basedOn w:val="DefaultParagraphFont"/>
    <w:uiPriority w:val="99"/>
    <w:unhideWhenUsed/>
    <w:rsid w:val="00B3527F"/>
    <w:rPr>
      <w:color w:val="0563C1" w:themeColor="hyperlink"/>
      <w:u w:val="single"/>
    </w:rPr>
  </w:style>
  <w:style w:type="character" w:styleId="UnresolvedMention">
    <w:name w:val="Unresolved Mention"/>
    <w:basedOn w:val="DefaultParagraphFont"/>
    <w:uiPriority w:val="99"/>
    <w:semiHidden/>
    <w:unhideWhenUsed/>
    <w:rsid w:val="00B35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FederalPPDRQuestions@cms.hhs.gov" TargetMode="External"/><Relationship Id="rId5" Type="http://schemas.openxmlformats.org/officeDocument/2006/relationships/endnotes" Target="endnotes.xml"/><Relationship Id="rId10" Type="http://schemas.openxmlformats.org/officeDocument/2006/relationships/hyperlink" Target="http://www.cms.gov/nosurprises/consumers" TargetMode="External"/><Relationship Id="rId4" Type="http://schemas.openxmlformats.org/officeDocument/2006/relationships/footnotes" Target="footnotes.xml"/><Relationship Id="rId9" Type="http://schemas.openxmlformats.org/officeDocument/2006/relationships/hyperlink" Target="http://www.cms.gov/nosurprises/consum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Worm</dc:creator>
  <cp:keywords/>
  <dc:description/>
  <cp:lastModifiedBy>Tara Worm</cp:lastModifiedBy>
  <cp:revision>10</cp:revision>
  <dcterms:created xsi:type="dcterms:W3CDTF">2022-07-18T17:59:00Z</dcterms:created>
  <dcterms:modified xsi:type="dcterms:W3CDTF">2022-07-22T12:16:00Z</dcterms:modified>
</cp:coreProperties>
</file>